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خطبة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العبادة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4"/>
          <w:szCs w:val="64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ماجد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بلال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جامع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الرحمن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 /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تبوك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الثلاثاء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 1442/12/13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ه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36"/>
          <w:szCs w:val="3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الخطبة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الأولى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مستفادة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مقالة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للشيخ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المحسن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البدر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كثيرا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القران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الكريم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والحث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والترغيب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وبيان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ثماره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وآثاره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سيما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نهاية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الطاعات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وعند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إتمام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العبادات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الأعمال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الصالحة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ثبت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((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انصرف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صلاته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استغفر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ثلاثا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))([1])،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وورد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:{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ِ}([2])،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{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}([3])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يتهجدون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ويتعبدون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ويرون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مقص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فيسألون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المغفرة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–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سبحانه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المزمل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قيام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بقوله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{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ٌ (20) }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للمتوضئ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يختم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وضوءه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بالتوبة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أحسن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ختمت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الأعمال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التوبة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الخطاب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رضي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((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َ)) ([4])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آيات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الحج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ِّ: {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ٌ (199) }([5])،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والمراد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بالإفاضة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العاشر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الحجة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يقوم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الحاج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أعمال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حجهم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خاتمة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أعماله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.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الشيخ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العلامة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الرحمن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ناصر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عدي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رحمه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تفسيره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الآية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مبينا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الحكمة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ليكون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جابرا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حصل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نقص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وقع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تقصير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((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فالاستغفار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للخلل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الواقع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أداء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عبادته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وتقصيره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إنعامه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بالتوفيق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العبادة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العظيمة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الجسيمة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وهكذا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ينبغي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فرغ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عبادة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يستغفر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التقصير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ويشكره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التوفيق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أكمل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العبادة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وجعلت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محلا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ومنزلة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رفيعة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حقيق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بالمقت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ورد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حقيق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بالقبول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والتوفيق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لأعمال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)).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اهـ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هديه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مجالسه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أبو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داود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برزة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الأسلمي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رضي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((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يقول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بأخرة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أراد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يقوم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المجلس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سبحانك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وبحمدك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أشهد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أستغفرك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وأتوب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إليك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))([6])،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وروى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أبو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داود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هريرة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رضي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((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جلس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مجلس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يقوم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مجلسه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سبحانك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وبحمدك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أشهد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أستغفرك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وأتوب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إليك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غفر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مجلسه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))([7]).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الصلاة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والسلام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حيات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العامرة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بتحقيق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العبودية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الطاعة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البخاري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عائشة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رضي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سمعت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وأصغت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يموت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ظهر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يقول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((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اغفر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))([8])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ملازمة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عظيمة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أيام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حياته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الزكي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وعمره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الشريف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شيخ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الإسلام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تيمية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رحمه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((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يخرج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الفعل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المكروه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الفعل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المحبوب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الناقص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ويرفع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المقام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الأدنى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والأكمل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العابد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والعارف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ساعة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لحظة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يزداد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وبصيرة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دينه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وعبوديته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بحيث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يجد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طعامه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وشرابه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ونومه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ويقظته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وقوله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وفعله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ويرى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تقصيره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حضور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قلبه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المقامات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العالية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وإعطائها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يحتاج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آناء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وأطراف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النهار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مضطر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دائما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الأقوال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والأحوال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الغوائب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والمشاهد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المصالح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وجلب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الخيرات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ودفع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المضر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وطلب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الزيادة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القو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الأعمال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القلبية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والبدني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اليقينية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الإيمانية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))([10]).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اهـ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وشرع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يلحق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القلب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رياء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الشرك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الأصغر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شرع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للمسلم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0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أعوذ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أستغفر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).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ُ.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36"/>
          <w:szCs w:val="3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الخطبة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الثانية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تفسير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rtl w:val="1"/>
        </w:rPr>
        <w:t xml:space="preserve">القرطبي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ذكر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القرطبي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تفسير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قوله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ۚ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) (3)</w:t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نزلت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السورة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بمنى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الوداع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؛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نزلت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اليوم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أكملت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دينكم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وأتممت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نعمتي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).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القرطبي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نزلت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أيام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التشريق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حجة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الوداع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فبكى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والعباس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فقيل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لهما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فقالا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: "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صدقتما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نعيت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نفسي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"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البخاري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وغيره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عباس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الخطاب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يأذن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لأهل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بدر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ويأذن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معهم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فوجد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بعضهم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فقالوا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يأذن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الفتى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معنا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أبنائنا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مثله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علمتم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فأذن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وأذن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معهم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فسألهم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السورة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والفتح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فقالوا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وعز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نبيه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فتح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يستغفره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يتوب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تقول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عباس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؟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ولكن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أخبر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نبيه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حضور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أجله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والفتح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موتك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فسبح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ربك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واستغفره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توابا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رضي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تلومونني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؟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البخاري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أعلم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تقول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عائشة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رضي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نزلت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والفتح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يقول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سبحانك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ربنا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وبحمدك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اغفر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وعنها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يكثر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يقول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ركوعه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وسجوده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سبحانك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ربنا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وبحمدك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اغفر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يتأول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القرآن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وقالت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سلمة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آخر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أمره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يقوم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يقعد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يجيء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يذهب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"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سبحان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وبحمده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أستغفر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وأتوب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فإني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أمرت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قرأ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والفتح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آخرها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" .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مقاتل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فعاش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بعدها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ستين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يوما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رئي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ضاحكا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مستبشرا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.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القرطبي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يستقصر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نفسه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لعظم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أنعم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ويرى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قصوره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القيام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بحق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ذنوبا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. 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تنبيه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لأمته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لكيلا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يأمنوا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ويتركوا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.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توابا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المسبحين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والمستغفرين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يتوب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ويرحمهم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ويقبل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توبتهم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وإذا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السلام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وهو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معصوم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يؤمر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بالاستغفار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الظن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بغيره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؟ </w:t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…..</w:t>
      </w: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aditional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D35FF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8916A6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8916A6"/>
  </w:style>
  <w:style w:type="paragraph" w:styleId="a4">
    <w:name w:val="footer"/>
    <w:basedOn w:val="a"/>
    <w:link w:val="Char0"/>
    <w:uiPriority w:val="99"/>
    <w:unhideWhenUsed w:val="1"/>
    <w:rsid w:val="008916A6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rsid w:val="008916A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E1b+Ozy6/9FlJuFl++E/Im0aFw==">AMUW2mWrktGbOf8eFYCISAflZ9O5dDxlrKu6unjDfmxEyU0ItdgQKPABB9VAI4YEY/ZeC5o/xjYovjrzliQRlhHI+6Y8N783iWoM0OnRb5FGP80vNkL+Vo8=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2016-09-06T19:01:00Z</dcterms:created>
  <dc:creator>الغد للحاسبات</dc:creator>
</cp:coreProperties>
</file>